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45CFF9">
      <w:pPr>
        <w:pageBreakBefore w:val="0"/>
        <w:kinsoku w:val="0"/>
        <w:wordWrap/>
        <w:overflowPunct/>
        <w:topLinePunct w:val="0"/>
        <w:autoSpaceDE w:val="0"/>
        <w:autoSpaceDN w:val="0"/>
        <w:bidi w:val="0"/>
        <w:spacing w:line="600" w:lineRule="exact"/>
        <w:jc w:val="center"/>
        <w:textAlignment w:val="baseline"/>
        <w:rPr>
          <w:rFonts w:hint="eastAsia" w:ascii="方正小标宋简体" w:hAnsi="方正小标宋简体" w:eastAsia="方正小标宋简体" w:cs="方正小标宋简体"/>
          <w:b w:val="0"/>
          <w:bCs w:val="0"/>
          <w:snapToGrid w:val="0"/>
          <w:color w:val="000000"/>
          <w:kern w:val="0"/>
          <w:sz w:val="44"/>
          <w:szCs w:val="44"/>
          <w:lang w:val="en-US" w:eastAsia="en-US" w:bidi="ar-SA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napToGrid w:val="0"/>
          <w:color w:val="000000"/>
          <w:kern w:val="0"/>
          <w:sz w:val="44"/>
          <w:szCs w:val="44"/>
          <w:lang w:val="en-US" w:eastAsia="en-US" w:bidi="ar-SA"/>
        </w:rPr>
        <w:t>开展重大政策和重点项目绩效评价情况</w:t>
      </w:r>
    </w:p>
    <w:p w14:paraId="3DA77234">
      <w:pPr>
        <w:pStyle w:val="2"/>
        <w:pageBreakBefore w:val="0"/>
        <w:kinsoku w:val="0"/>
        <w:wordWrap/>
        <w:overflowPunct/>
        <w:topLinePunct w:val="0"/>
        <w:autoSpaceDE w:val="0"/>
        <w:autoSpaceDN w:val="0"/>
        <w:bidi w:val="0"/>
        <w:spacing w:before="0" w:beforeLines="0" w:after="0" w:afterLines="0" w:line="600" w:lineRule="exact"/>
        <w:ind w:left="0" w:firstLine="640" w:firstLineChars="200"/>
        <w:jc w:val="both"/>
        <w:textAlignment w:val="baseline"/>
        <w:rPr>
          <w:rFonts w:hint="default" w:ascii="黑体" w:hAnsi="黑体" w:eastAsia="黑体" w:cs="Times New Roman"/>
          <w:b w:val="0"/>
          <w:bCs w:val="0"/>
          <w:sz w:val="32"/>
          <w:szCs w:val="32"/>
        </w:rPr>
      </w:pPr>
    </w:p>
    <w:p w14:paraId="3CD8E65B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720" w:firstLineChars="200"/>
        <w:textAlignment w:val="auto"/>
        <w:rPr>
          <w:rFonts w:hint="eastAsia" w:ascii="仿宋_GB2312" w:hAnsi="仿宋_GB2312" w:cs="仿宋_GB2312"/>
          <w:bCs/>
          <w:sz w:val="36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6"/>
          <w:szCs w:val="36"/>
          <w:lang w:val="en-US" w:eastAsia="zh-CN"/>
        </w:rPr>
        <w:t>2023年度重点绩效评价工作按照《内蒙古自治区人民政府办公厅关于印发&lt;内蒙古自治区项目支出绩效评价管理办法〉的通知》（内政办发〔2021〕5号）等要求，结合自治区对旗县预算绩效管理工作考核指标，选取社会各界广泛关注、与社会密切相关的项目开展支出财政支出重点绩效评价，并覆盖“四本预算”。</w:t>
      </w:r>
      <w:r>
        <w:rPr>
          <w:rFonts w:hint="eastAsia" w:ascii="仿宋_GB2312" w:hAnsi="仿宋_GB2312" w:eastAsia="仿宋_GB2312" w:cs="仿宋_GB2312"/>
          <w:b w:val="0"/>
          <w:bCs w:val="0"/>
          <w:sz w:val="36"/>
          <w:szCs w:val="36"/>
          <w:lang w:val="en-US" w:eastAsia="zh-CN"/>
        </w:rPr>
        <w:t>2023年度财政重点评价</w:t>
      </w:r>
      <w:r>
        <w:rPr>
          <w:rFonts w:hint="eastAsia" w:ascii="仿宋_GB2312" w:hAnsi="仿宋_GB2312" w:eastAsia="仿宋_GB2312" w:cs="仿宋_GB2312"/>
          <w:b w:val="0"/>
          <w:bCs w:val="0"/>
          <w:sz w:val="36"/>
          <w:szCs w:val="36"/>
        </w:rPr>
        <w:t>共选定</w:t>
      </w:r>
      <w:r>
        <w:rPr>
          <w:rFonts w:hint="eastAsia" w:ascii="仿宋_GB2312" w:hAnsi="仿宋_GB2312" w:cs="仿宋_GB2312"/>
          <w:b w:val="0"/>
          <w:bCs w:val="0"/>
          <w:sz w:val="36"/>
          <w:szCs w:val="36"/>
          <w:lang w:val="en-US" w:eastAsia="zh-CN"/>
        </w:rPr>
        <w:t>17</w:t>
      </w:r>
      <w:r>
        <w:rPr>
          <w:rFonts w:hint="eastAsia" w:ascii="仿宋_GB2312" w:hAnsi="仿宋_GB2312" w:eastAsia="仿宋_GB2312" w:cs="仿宋_GB2312"/>
          <w:b w:val="0"/>
          <w:bCs w:val="0"/>
          <w:sz w:val="36"/>
          <w:szCs w:val="36"/>
        </w:rPr>
        <w:t>个项目。</w:t>
      </w:r>
      <w:r>
        <w:rPr>
          <w:rFonts w:hint="eastAsia" w:ascii="仿宋_GB2312" w:hAnsi="仿宋_GB2312" w:eastAsia="仿宋_GB2312" w:cs="仿宋_GB2312"/>
          <w:bCs/>
          <w:sz w:val="36"/>
          <w:szCs w:val="36"/>
          <w:lang w:val="en-US" w:eastAsia="zh-CN"/>
        </w:rPr>
        <w:t>评价范围覆盖重点民生支出绩效评价：涉及农牧业、教育、医疗卫生、社保和就业、节能环保、保障性安居工程等相关领域；政府性基金预算财政评价；专项债券项目绩效评价；部门整体支出绩效评价；对下级政府财政运行情况实施综合绩效评价；政府采购、政府购买服务等绩效评价；财政政策绩效评价；重大专项中期绩效评价；社保基金预算财政评价</w:t>
      </w:r>
      <w:r>
        <w:rPr>
          <w:rFonts w:hint="eastAsia" w:ascii="仿宋_GB2312" w:hAnsi="仿宋_GB2312" w:cs="仿宋_GB2312"/>
          <w:bCs/>
          <w:sz w:val="36"/>
          <w:szCs w:val="36"/>
          <w:lang w:val="en-US" w:eastAsia="zh-CN"/>
        </w:rPr>
        <w:t>。</w:t>
      </w:r>
    </w:p>
    <w:p w14:paraId="108A5F5C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720" w:firstLineChars="200"/>
        <w:textAlignment w:val="auto"/>
        <w:rPr>
          <w:rFonts w:hint="eastAsia" w:ascii="仿宋_GB2312" w:hAnsi="仿宋_GB2312" w:cs="仿宋_GB2312"/>
          <w:bCs/>
          <w:sz w:val="36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6"/>
          <w:szCs w:val="36"/>
        </w:rPr>
        <w:t>重点评价结果为</w:t>
      </w:r>
      <w:r>
        <w:rPr>
          <w:rFonts w:hint="eastAsia" w:ascii="仿宋_GB2312" w:hAnsi="仿宋_GB2312" w:cs="仿宋_GB2312"/>
          <w:bCs/>
          <w:sz w:val="36"/>
          <w:szCs w:val="36"/>
          <w:lang w:val="en-US" w:eastAsia="zh-CN"/>
        </w:rPr>
        <w:t>优</w:t>
      </w:r>
      <w:r>
        <w:rPr>
          <w:rFonts w:hint="eastAsia" w:ascii="仿宋_GB2312" w:hAnsi="仿宋_GB2312" w:eastAsia="仿宋_GB2312" w:cs="仿宋_GB2312"/>
          <w:bCs/>
          <w:sz w:val="36"/>
          <w:szCs w:val="36"/>
        </w:rPr>
        <w:t>的</w:t>
      </w:r>
      <w:r>
        <w:rPr>
          <w:rFonts w:hint="eastAsia" w:ascii="仿宋_GB2312" w:hAnsi="仿宋_GB2312" w:cs="仿宋_GB2312"/>
          <w:bCs/>
          <w:sz w:val="36"/>
          <w:szCs w:val="36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Cs/>
          <w:sz w:val="36"/>
          <w:szCs w:val="36"/>
        </w:rPr>
        <w:t>个</w:t>
      </w:r>
      <w:r>
        <w:rPr>
          <w:rFonts w:hint="eastAsia" w:ascii="仿宋_GB2312" w:hAnsi="仿宋_GB2312" w:eastAsia="仿宋_GB2312" w:cs="仿宋_GB2312"/>
          <w:bCs/>
          <w:sz w:val="36"/>
          <w:szCs w:val="36"/>
          <w:lang w:val="en"/>
        </w:rPr>
        <w:t>,占项目数</w:t>
      </w:r>
      <w:r>
        <w:rPr>
          <w:rFonts w:hint="eastAsia" w:ascii="仿宋_GB2312" w:hAnsi="仿宋_GB2312" w:cs="仿宋_GB2312"/>
          <w:bCs/>
          <w:sz w:val="36"/>
          <w:szCs w:val="36"/>
          <w:lang w:val="en-US" w:eastAsia="zh-CN"/>
        </w:rPr>
        <w:t>35</w:t>
      </w:r>
      <w:r>
        <w:rPr>
          <w:rFonts w:hint="eastAsia" w:ascii="仿宋_GB2312" w:hAnsi="仿宋_GB2312" w:eastAsia="仿宋_GB2312" w:cs="仿宋_GB2312"/>
          <w:bCs/>
          <w:sz w:val="36"/>
          <w:szCs w:val="36"/>
        </w:rPr>
        <w:t>%；</w:t>
      </w:r>
      <w:r>
        <w:rPr>
          <w:rFonts w:hint="eastAsia" w:ascii="仿宋_GB2312" w:hAnsi="仿宋_GB2312" w:cs="仿宋_GB2312"/>
          <w:bCs/>
          <w:sz w:val="36"/>
          <w:szCs w:val="36"/>
          <w:lang w:val="en-US" w:eastAsia="zh-CN"/>
        </w:rPr>
        <w:t>结果为良的8个，</w:t>
      </w:r>
      <w:r>
        <w:rPr>
          <w:rFonts w:hint="eastAsia" w:ascii="仿宋_GB2312" w:hAnsi="仿宋_GB2312" w:eastAsia="仿宋_GB2312" w:cs="仿宋_GB2312"/>
          <w:bCs/>
          <w:sz w:val="36"/>
          <w:szCs w:val="36"/>
          <w:lang w:val="en"/>
        </w:rPr>
        <w:t>占项目数</w:t>
      </w:r>
      <w:r>
        <w:rPr>
          <w:rFonts w:hint="eastAsia" w:ascii="仿宋_GB2312" w:hAnsi="仿宋_GB2312" w:cs="仿宋_GB2312"/>
          <w:bCs/>
          <w:sz w:val="36"/>
          <w:szCs w:val="36"/>
          <w:lang w:val="en-US" w:eastAsia="zh-CN"/>
        </w:rPr>
        <w:t>47</w:t>
      </w:r>
      <w:r>
        <w:rPr>
          <w:rFonts w:hint="eastAsia" w:ascii="仿宋_GB2312" w:hAnsi="仿宋_GB2312" w:eastAsia="仿宋_GB2312" w:cs="仿宋_GB2312"/>
          <w:bCs/>
          <w:sz w:val="36"/>
          <w:szCs w:val="36"/>
        </w:rPr>
        <w:t>%；</w:t>
      </w:r>
      <w:r>
        <w:rPr>
          <w:rFonts w:hint="eastAsia" w:ascii="仿宋_GB2312" w:hAnsi="仿宋_GB2312" w:cs="仿宋_GB2312"/>
          <w:bCs/>
          <w:sz w:val="36"/>
          <w:szCs w:val="36"/>
          <w:lang w:val="en-US" w:eastAsia="zh-CN"/>
        </w:rPr>
        <w:t>结果为中的3个，</w:t>
      </w:r>
      <w:r>
        <w:rPr>
          <w:rFonts w:hint="eastAsia" w:ascii="仿宋_GB2312" w:hAnsi="仿宋_GB2312" w:eastAsia="仿宋_GB2312" w:cs="仿宋_GB2312"/>
          <w:bCs/>
          <w:sz w:val="36"/>
          <w:szCs w:val="36"/>
          <w:lang w:val="en"/>
        </w:rPr>
        <w:t>占项目数</w:t>
      </w:r>
      <w:r>
        <w:rPr>
          <w:rFonts w:hint="eastAsia" w:ascii="仿宋_GB2312" w:hAnsi="仿宋_GB2312" w:cs="仿宋_GB2312"/>
          <w:bCs/>
          <w:sz w:val="36"/>
          <w:szCs w:val="36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bCs/>
          <w:sz w:val="36"/>
          <w:szCs w:val="36"/>
        </w:rPr>
        <w:t>%</w:t>
      </w:r>
      <w:r>
        <w:rPr>
          <w:rFonts w:hint="eastAsia" w:ascii="仿宋_GB2312" w:hAnsi="仿宋_GB2312" w:cs="仿宋_GB2312"/>
          <w:bCs/>
          <w:sz w:val="36"/>
          <w:szCs w:val="36"/>
          <w:lang w:val="en-US" w:eastAsia="zh-CN"/>
        </w:rPr>
        <w:t>。绩效评价结果反馈给预算部门、归口股室及相关领导，作为改进预算管理和安排以后年度预算的重要依据，对评价结果好的项目予以继续支持，对评价中发现的问题、达不到绩效目标的或评价结果较差的，责令限期整改，整改不到位或不改的，根据情况调减当年预算或下一年不再安排预算。</w:t>
      </w:r>
      <w:bookmarkStart w:id="0" w:name="_GoBack"/>
      <w:bookmarkEnd w:id="0"/>
    </w:p>
    <w:p w14:paraId="75D34131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720" w:firstLineChars="200"/>
        <w:textAlignment w:val="auto"/>
        <w:rPr>
          <w:rFonts w:hint="eastAsia" w:ascii="仿宋_GB2312" w:hAnsi="仿宋_GB2312" w:cs="仿宋_GB2312"/>
          <w:bCs/>
          <w:sz w:val="36"/>
          <w:szCs w:val="36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01E89BE-86CA-4BC7-B2C8-DF8F5A8BE8B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2" w:fontKey="{9B82C5B0-7A81-4936-A9C4-2C49D3533420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97046CFF-E6F2-497A-9B3E-3E08A4D7016D}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IxNTg5MDcyY2IzZDVjMDFjNTE1MGE4MzM0MmJjNTUifQ=="/>
  </w:docVars>
  <w:rsids>
    <w:rsidRoot w:val="0D0760AF"/>
    <w:rsid w:val="01BD3335"/>
    <w:rsid w:val="0A501179"/>
    <w:rsid w:val="0D0760AF"/>
    <w:rsid w:val="0E74786D"/>
    <w:rsid w:val="1AF82718"/>
    <w:rsid w:val="27377365"/>
    <w:rsid w:val="2B0C70C5"/>
    <w:rsid w:val="33A91256"/>
    <w:rsid w:val="4E651922"/>
    <w:rsid w:val="55A44D32"/>
    <w:rsid w:val="6B3D57E1"/>
    <w:rsid w:val="723B3782"/>
    <w:rsid w:val="7A753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仿宋_GB2312" w:cs="Arial"/>
      <w:snapToGrid w:val="0"/>
      <w:color w:val="000000"/>
      <w:kern w:val="0"/>
      <w:sz w:val="32"/>
      <w:szCs w:val="21"/>
      <w:lang w:val="en-US" w:eastAsia="en-US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仿宋_GB2312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autoRedefine/>
    <w:qFormat/>
    <w:uiPriority w:val="0"/>
    <w:pPr>
      <w:spacing w:after="120" w:afterLines="0" w:afterAutospacing="0"/>
    </w:pPr>
  </w:style>
  <w:style w:type="paragraph" w:styleId="4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5">
    <w:name w:val="Normal (Web)"/>
    <w:basedOn w:val="1"/>
    <w:autoRedefine/>
    <w:qFormat/>
    <w:uiPriority w:val="0"/>
    <w:pPr>
      <w:spacing w:before="100" w:beforeAutospacing="1" w:after="100" w:afterAutospacing="1"/>
      <w:ind w:left="0" w:right="0"/>
      <w:jc w:val="left"/>
    </w:pPr>
    <w:rPr>
      <w:rFonts w:ascii="Calibri" w:hAnsi="Calibri" w:eastAsia="宋体" w:cs="Times New Roman"/>
      <w:kern w:val="0"/>
      <w:sz w:val="24"/>
      <w:szCs w:val="24"/>
      <w:lang w:val="en-US" w:eastAsia="zh-CN" w:bidi="ar"/>
    </w:rPr>
  </w:style>
  <w:style w:type="paragraph" w:styleId="6">
    <w:name w:val="Body Text First Indent 2"/>
    <w:basedOn w:val="4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335</Words>
  <Characters>351</Characters>
  <Lines>0</Lines>
  <Paragraphs>0</Paragraphs>
  <TotalTime>0</TotalTime>
  <ScaleCrop>false</ScaleCrop>
  <LinksUpToDate>false</LinksUpToDate>
  <CharactersWithSpaces>352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2024-07-11T07:46:00Z</dcterms:created>
  <dc:creator>lz</dc:creator>
  <cp:lastModifiedBy>.</cp:lastModifiedBy>
  <cp:lastPrinted>2024-07-11T09:26:00Z</cp:lastPrinted>
  <dcterms:modified xsi:type="dcterms:W3CDTF">2024-08-15T01:49:27Z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9DD8F88C15FA4808AFC10281595D50F7_11</vt:lpwstr>
  </property>
</Properties>
</file>